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/>
      </w:pPr>
      <w:bookmarkStart w:colFirst="0" w:colLast="0" w:name="_heading=h.j492d99oagz5" w:id="0"/>
      <w:bookmarkEnd w:id="0"/>
      <w:r w:rsidDel="00000000" w:rsidR="00000000" w:rsidRPr="00000000">
        <w:rPr/>
        <w:drawing>
          <wp:inline distB="114300" distT="114300" distL="114300" distR="114300">
            <wp:extent cx="5943600" cy="51308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130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  <w:t xml:space="preserve">Prestación de servicio profesional para orientar 24 horas en sesiones prácticas en los ambientes de aprendizaje del SENA de la unidad cinco, seis y siete del módulo dos del curso en diagnóstico y gestión de electromovilidad que está dirigido a mujeres con formación técnica, tecnológica, estudiantes universitarias y profesionales que buscan profundizar sus conocimientos en electromovilidad, propuestas en el marco del proyecto de investigación titulado «Género y Movilidad Eléctrica», en virtud del Acuerdo de Financiación a Pequeña Escala suscrito entre el Programa de las Naciones Unidas para el Medio Ambiente (PNUMA) y la Universidad Tecnológica de Pereira (UTP).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Acondicionar los recursos físicos, componentes didácticos, herramientas y equipos de diagnóstico requeridos para el desarrollo de las sesiones de transferencia técnica en los talleres del SENA.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Ejecutar la instrucción del componente netamente práctico de la Unidad 5, enfocado en seguridad eléctrica y normatividad aplicable a la manipulación de sistemas de alta tensión.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Impartir las sesiones operativas correspondientes a la Unidad 6, referentes a la gestión de sistemas de almacenamiento de energía y la arquitectura del tren motriz.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Dirigir las actividades de taller de la Unidad 7, orientadas al mantenimiento, diagnóstico electrónico y análisis de redes de comunicación CAN Bus, aplicando rigurosamente los protocolos de seguridad industrial.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Evaluar los niveles de competencia técnica y habilidades mecánicas adquiridas por las participantes, consolidando los registros de asistencia y desempeño requeridos para el sistema de monitoreo de indicadores del proyecto.</w:t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rtl w:val="0"/>
        </w:rPr>
        <w:t xml:space="preserve">Observaciones:</w:t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rtl w:val="0"/>
        </w:rPr>
        <w:t xml:space="preserve">Reconocer al CONTRATISTA apoyos económicos, de conformidad con los lineamientos establecidos en la Resolución No. 1334 del 20 de abril del 2016 o aquellas que la modifique, adicione o revoque.</w:t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NwJzyervPWnBRfNhfx35XgznPQ==">CgMxLjAyDmguajQ5MmQ5OW9hZ3o1OAByITFrT0s5OU0wSmtaY0FvUENmd3IxQ3dGX25WZzdBckd1Tw==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